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6DA4D" w14:textId="77777777" w:rsidR="00F74BD4" w:rsidRPr="00BE06C3" w:rsidRDefault="00F74BD4" w:rsidP="00F74BD4">
      <w:pPr>
        <w:spacing w:after="80"/>
        <w:jc w:val="center"/>
        <w:rPr>
          <w:rFonts w:ascii="Arial" w:hAnsi="Arial" w:cs="Arial"/>
          <w:b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PERFILES DE CARGO – PROFESIONALES UNIDAD DE CONTROL</w:t>
      </w:r>
    </w:p>
    <w:p w14:paraId="3491A120" w14:textId="77777777" w:rsidR="00F74BD4" w:rsidRPr="00BE06C3" w:rsidRDefault="00F74BD4" w:rsidP="00F74BD4">
      <w:pPr>
        <w:keepNext/>
        <w:spacing w:before="280" w:after="1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1. Perfil de Cargo: Auditoría de Procesos y Fiscalización Financiera</w:t>
      </w:r>
    </w:p>
    <w:tbl>
      <w:tblPr>
        <w:tblW w:w="0" w:type="auto"/>
        <w:jc w:val="center"/>
        <w:tblBorders>
          <w:top w:val="single" w:sz="4" w:space="0" w:color="D1D5DB"/>
          <w:bottom w:val="single" w:sz="4" w:space="0" w:color="D1D5DB"/>
          <w:insideH w:val="single" w:sz="4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F74BD4" w:rsidRPr="00BE06C3" w14:paraId="230FCB10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DF2ADB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Perfil del cargo para: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7BF26A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Profesional de Apoyo Área de Auditoría</w:t>
            </w:r>
          </w:p>
        </w:tc>
      </w:tr>
      <w:tr w:rsidR="00F74BD4" w:rsidRPr="00BE06C3" w14:paraId="4523F096" w14:textId="77777777" w:rsidTr="002A15D3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EDF6B6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Tipo de contrato:</w:t>
            </w:r>
          </w:p>
        </w:tc>
        <w:tc>
          <w:tcPr>
            <w:tcW w:w="619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1E6C0C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Compra de Servicios</w:t>
            </w:r>
          </w:p>
        </w:tc>
      </w:tr>
      <w:tr w:rsidR="00F74BD4" w:rsidRPr="00BE06C3" w14:paraId="05DDA588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D1775F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Duración: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DD38ED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2 meses</w:t>
            </w:r>
          </w:p>
        </w:tc>
      </w:tr>
      <w:tr w:rsidR="00F74BD4" w:rsidRPr="00BE06C3" w14:paraId="0C2CACE3" w14:textId="77777777" w:rsidTr="002A15D3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24062F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Jornada:</w:t>
            </w:r>
          </w:p>
        </w:tc>
        <w:tc>
          <w:tcPr>
            <w:tcW w:w="619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0E0042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Jornada completa</w:t>
            </w:r>
          </w:p>
        </w:tc>
      </w:tr>
      <w:tr w:rsidR="00F74BD4" w:rsidRPr="00BE06C3" w14:paraId="5D3C6ADB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F129D4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Unidad de trabajo: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DE67AE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Unidad de Control</w:t>
            </w:r>
          </w:p>
        </w:tc>
      </w:tr>
      <w:tr w:rsidR="00F74BD4" w:rsidRPr="00BE06C3" w14:paraId="37AEBEC0" w14:textId="77777777" w:rsidTr="002A15D3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DC3BEE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Lugar de trabajo:</w:t>
            </w:r>
          </w:p>
        </w:tc>
        <w:tc>
          <w:tcPr>
            <w:tcW w:w="619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F41AA4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Región de Arica y Parinacota</w:t>
            </w:r>
          </w:p>
        </w:tc>
      </w:tr>
      <w:tr w:rsidR="00F74BD4" w:rsidRPr="00BE06C3" w14:paraId="165B9849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D895EE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Cantidad de vacantes: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FC9E8F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4 vacantes</w:t>
            </w:r>
          </w:p>
        </w:tc>
      </w:tr>
      <w:tr w:rsidR="00F74BD4" w:rsidRPr="00BE06C3" w14:paraId="68AD8659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EDF52C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 xml:space="preserve">Presupuesto Disponible: 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E36BDC" w14:textId="77777777" w:rsidR="00F74BD4" w:rsidRPr="00BE06C3" w:rsidRDefault="00F74BD4" w:rsidP="002A15D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CL"/>
              </w:rPr>
              <w:t>$1.500.000.- mensuales por cada profesional</w:t>
            </w:r>
          </w:p>
        </w:tc>
      </w:tr>
    </w:tbl>
    <w:p w14:paraId="640803B5" w14:textId="77777777" w:rsidR="00F74BD4" w:rsidRPr="00BE06C3" w:rsidRDefault="00F74BD4" w:rsidP="00F74BD4">
      <w:pPr>
        <w:spacing w:after="0"/>
        <w:jc w:val="both"/>
        <w:rPr>
          <w:rFonts w:ascii="Arial" w:hAnsi="Arial" w:cs="Arial"/>
          <w:b/>
          <w:sz w:val="20"/>
          <w:szCs w:val="20"/>
          <w:lang w:val="es-CL"/>
        </w:rPr>
      </w:pPr>
    </w:p>
    <w:p w14:paraId="22832EDE" w14:textId="77777777" w:rsidR="00F74BD4" w:rsidRPr="00BE06C3" w:rsidRDefault="00F74BD4" w:rsidP="00F74BD4">
      <w:pPr>
        <w:keepNext/>
        <w:spacing w:before="200" w:after="8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Objetivo del Cargo</w:t>
      </w:r>
    </w:p>
    <w:p w14:paraId="1DA9B4A5" w14:textId="77777777" w:rsidR="00F74BD4" w:rsidRPr="00BE06C3" w:rsidRDefault="00F74BD4" w:rsidP="00F74BD4">
      <w:pPr>
        <w:spacing w:after="1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Evaluar, fiscalizar y asegurar la correcta ejecución de los recursos públicos en los proyectos de inversión, realizando la revisión analítica y preventiva de licitaciones, asignación de recursos, estados de pago y rendiciones de cuentas, así como el diseño, seguimiento e implementación de planes de mitigación eficaces ante hallazgos y observaciones emitidos por la Contraloría General de la República.</w:t>
      </w:r>
    </w:p>
    <w:p w14:paraId="1283E80C" w14:textId="77777777" w:rsidR="00F74BD4" w:rsidRPr="00BE06C3" w:rsidRDefault="00F74BD4" w:rsidP="00F74BD4">
      <w:pPr>
        <w:keepNext/>
        <w:spacing w:before="200" w:after="8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Principales Funciones</w:t>
      </w:r>
    </w:p>
    <w:p w14:paraId="6969E07C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Auditar los expedientes de los proyectos de inversión antes, durante y al finalizar la ejecución, verificando que el gasto esté legal y técnicamente respaldado.</w:t>
      </w:r>
    </w:p>
    <w:p w14:paraId="1DD5E3DE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Diseñar, hacer seguimiento y evaluar la efectividad de los Planes de Mitigación y Subsanación comprometidos ante la Contraloría General de la República.</w:t>
      </w:r>
    </w:p>
    <w:p w14:paraId="319387ED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Cruzar la información financiera con el avance físico real reportado en terreno.</w:t>
      </w:r>
    </w:p>
    <w:p w14:paraId="03D2657E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Fiscalizar los convenios de transferencia a terceros, asegurando el uso estricto de los fondos en el objeto del proyecto.</w:t>
      </w:r>
    </w:p>
    <w:p w14:paraId="398C56CF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Analizar los informes emitidos por el ente contralor y coordinar con las áreas técnicas las respuestas institucionales correspondientes.</w:t>
      </w:r>
    </w:p>
    <w:p w14:paraId="57EB1A57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Coordinar información con las distintas unidades del Gobierno Regional y apoyar los procesos de cierre y evaluación final de los proyectos.</w:t>
      </w:r>
    </w:p>
    <w:p w14:paraId="715E5EF5" w14:textId="77777777" w:rsidR="00F74BD4" w:rsidRPr="00BE06C3" w:rsidRDefault="00F74BD4" w:rsidP="00F74BD4">
      <w:pPr>
        <w:keepNext/>
        <w:spacing w:before="200" w:after="8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Formación Profesional</w:t>
      </w:r>
    </w:p>
    <w:p w14:paraId="4C6DD7A9" w14:textId="77777777" w:rsidR="00F74BD4" w:rsidRPr="00BE06C3" w:rsidRDefault="00F74BD4" w:rsidP="00F74BD4">
      <w:pPr>
        <w:pStyle w:val="Listaconvietas"/>
        <w:tabs>
          <w:tab w:val="num" w:pos="360"/>
        </w:tabs>
        <w:spacing w:after="4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 xml:space="preserve">Título Profesional: </w:t>
      </w:r>
      <w:r w:rsidRPr="00BE06C3">
        <w:rPr>
          <w:rFonts w:ascii="Arial" w:hAnsi="Arial" w:cs="Arial"/>
          <w:sz w:val="20"/>
          <w:szCs w:val="20"/>
          <w:lang w:val="es-CL"/>
        </w:rPr>
        <w:t>Título profesional de al menos 8 semestres de Contador Auditor, otorgado por una institución de educación superior del Estado de Chile o reconocida por éste.</w:t>
      </w:r>
    </w:p>
    <w:p w14:paraId="2CF75593" w14:textId="77777777" w:rsidR="00F74BD4" w:rsidRPr="00BE06C3" w:rsidRDefault="00F74BD4" w:rsidP="00F74BD4">
      <w:pPr>
        <w:keepNext/>
        <w:spacing w:before="200" w:after="8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Experiencia y Conocimientos Técnicos Deseables</w:t>
      </w:r>
    </w:p>
    <w:p w14:paraId="279AA073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Mínimo 2 años de experiencia en auditoría interna, control de gestión, auditoría de obras o fiscalización de contratos públicos en instituciones del sector público. Se valorará especialmente la experiencia previa en la Contraloría General de la República o en Unidades de Control Interno de Municipalidades, GORE, MOP o MINVU.</w:t>
      </w:r>
    </w:p>
    <w:p w14:paraId="720A3085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Dominio del Estatuto Administrativo (Ley 18.834), Ley Orgánica Constitucional de Gobiernos Regionales y Ley de Compras Públicas (Ley 19.886)</w:t>
      </w:r>
    </w:p>
    <w:p w14:paraId="0BF448DE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Conocimiento de la Normativa del Sistema de Contabilidad General de la Nación y procedimientos de rendición de cuentas de la Contraloría.</w:t>
      </w:r>
    </w:p>
    <w:p w14:paraId="359C2B84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Uso operativo de plataformas estatales (SIGFE, Mercado Público) y herramientas de Microsoft Office.</w:t>
      </w:r>
    </w:p>
    <w:p w14:paraId="433E29A4" w14:textId="77777777" w:rsidR="00F74BD4" w:rsidRPr="00BE06C3" w:rsidRDefault="00F74BD4" w:rsidP="00F74BD4">
      <w:pPr>
        <w:keepNext/>
        <w:spacing w:before="200" w:after="8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lastRenderedPageBreak/>
        <w:t xml:space="preserve">Competencias </w:t>
      </w:r>
    </w:p>
    <w:p w14:paraId="42D04561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Apego al principio de legalidad, probidad y transparencia pública.</w:t>
      </w:r>
    </w:p>
    <w:p w14:paraId="4B027B0C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Capacidad de análisis orientada a la detección de hallazgos, inconsistencias financieras y diseño de planes de mitigación</w:t>
      </w:r>
    </w:p>
    <w:p w14:paraId="393748E9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Comunicación asertiva y excelente capacidad técnica para elaborar informes oficiales dirigidos a la Contraloría y jefaturas institucionales.</w:t>
      </w:r>
    </w:p>
    <w:p w14:paraId="18F4EC69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Capacidad de trabajo colaborativo, coordinación interinstitucional en equipos multidisciplinarios y orientación al cumplimiento de plazos.</w:t>
      </w:r>
    </w:p>
    <w:p w14:paraId="071E42DA" w14:textId="77777777" w:rsidR="00F74BD4" w:rsidRPr="00BE06C3" w:rsidRDefault="00F74BD4" w:rsidP="00F74BD4">
      <w:pPr>
        <w:pStyle w:val="Listaconvietas"/>
        <w:tabs>
          <w:tab w:val="num" w:pos="360"/>
        </w:tabs>
        <w:spacing w:after="60"/>
        <w:ind w:left="360" w:hanging="3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Proactividad y capacidad para resolución de problemas.</w:t>
      </w:r>
    </w:p>
    <w:p w14:paraId="2EF75C58" w14:textId="77777777" w:rsidR="00F74BD4" w:rsidRDefault="00F74BD4" w:rsidP="00F74BD4">
      <w:pPr>
        <w:jc w:val="both"/>
        <w:rPr>
          <w:rFonts w:ascii="Arial" w:hAnsi="Arial" w:cs="Arial"/>
          <w:sz w:val="20"/>
          <w:szCs w:val="20"/>
          <w:lang w:val="es-CL"/>
        </w:rPr>
      </w:pPr>
    </w:p>
    <w:p w14:paraId="629E69D1" w14:textId="77777777" w:rsidR="00F74BD4" w:rsidRDefault="00F74BD4" w:rsidP="00F74BD4">
      <w:pPr>
        <w:spacing w:after="240"/>
        <w:jc w:val="both"/>
        <w:rPr>
          <w:rFonts w:ascii="Arial" w:hAnsi="Arial" w:cs="Arial"/>
          <w:b/>
          <w:bCs/>
          <w:sz w:val="20"/>
          <w:szCs w:val="20"/>
          <w:lang w:val="es-CL"/>
        </w:rPr>
      </w:pPr>
      <w:r w:rsidRPr="007E1897">
        <w:rPr>
          <w:rFonts w:ascii="Arial" w:hAnsi="Arial" w:cs="Arial"/>
          <w:b/>
          <w:bCs/>
          <w:sz w:val="20"/>
          <w:szCs w:val="20"/>
          <w:lang w:val="es-CL"/>
        </w:rPr>
        <w:t>Requerimiento</w:t>
      </w:r>
    </w:p>
    <w:p w14:paraId="724E6C8F" w14:textId="77777777" w:rsidR="00F74BD4" w:rsidRPr="007E1897" w:rsidRDefault="00F74BD4" w:rsidP="00F74BD4">
      <w:pPr>
        <w:spacing w:after="240"/>
        <w:jc w:val="both"/>
        <w:rPr>
          <w:rFonts w:ascii="Arial" w:hAnsi="Arial" w:cs="Arial"/>
          <w:sz w:val="20"/>
          <w:szCs w:val="20"/>
          <w:lang w:val="es-CL"/>
        </w:rPr>
      </w:pPr>
      <w:r w:rsidRPr="007E1897">
        <w:rPr>
          <w:rFonts w:ascii="Arial" w:hAnsi="Arial" w:cs="Arial"/>
          <w:sz w:val="20"/>
          <w:szCs w:val="20"/>
          <w:lang w:val="es-CL"/>
        </w:rPr>
        <w:t xml:space="preserve">El profesional debe disponer de </w:t>
      </w:r>
      <w:r>
        <w:rPr>
          <w:rFonts w:ascii="Arial" w:hAnsi="Arial" w:cs="Arial"/>
          <w:sz w:val="20"/>
          <w:szCs w:val="20"/>
          <w:lang w:val="es-CL"/>
        </w:rPr>
        <w:t>Notebook personal con conexión a Internet.</w:t>
      </w:r>
      <w:r w:rsidRPr="007E1897">
        <w:rPr>
          <w:rFonts w:ascii="Arial" w:hAnsi="Arial" w:cs="Arial"/>
          <w:sz w:val="20"/>
          <w:szCs w:val="20"/>
          <w:lang w:val="es-CL"/>
        </w:rPr>
        <w:t xml:space="preserve"> </w:t>
      </w:r>
    </w:p>
    <w:p w14:paraId="7DC16ADE" w14:textId="77777777" w:rsidR="007F3720" w:rsidRPr="00F74BD4" w:rsidRDefault="007F3720" w:rsidP="00F74BD4"/>
    <w:sectPr w:rsidR="007F3720" w:rsidRPr="00F74BD4" w:rsidSect="000D7011">
      <w:headerReference w:type="default" r:id="rId7"/>
      <w:pgSz w:w="12240" w:h="18720" w:code="4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2A523" w14:textId="77777777" w:rsidR="00DF148F" w:rsidRDefault="00DF148F" w:rsidP="008F7516">
      <w:pPr>
        <w:spacing w:after="0" w:line="240" w:lineRule="auto"/>
      </w:pPr>
      <w:r>
        <w:separator/>
      </w:r>
    </w:p>
  </w:endnote>
  <w:endnote w:type="continuationSeparator" w:id="0">
    <w:p w14:paraId="6DD254E3" w14:textId="77777777" w:rsidR="00DF148F" w:rsidRDefault="00DF148F" w:rsidP="008F7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2A27" w14:textId="77777777" w:rsidR="00DF148F" w:rsidRDefault="00DF148F" w:rsidP="008F7516">
      <w:pPr>
        <w:spacing w:after="0" w:line="240" w:lineRule="auto"/>
      </w:pPr>
      <w:r>
        <w:separator/>
      </w:r>
    </w:p>
  </w:footnote>
  <w:footnote w:type="continuationSeparator" w:id="0">
    <w:p w14:paraId="2ECE2E6E" w14:textId="77777777" w:rsidR="00DF148F" w:rsidRDefault="00DF148F" w:rsidP="008F7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DA81" w14:textId="124E0150" w:rsidR="008F7516" w:rsidRDefault="008F7516">
    <w:pPr>
      <w:pStyle w:val="Encabezado"/>
    </w:pPr>
    <w:r>
      <w:rPr>
        <w:rFonts w:ascii="Aptos" w:hAnsi="Aptos"/>
        <w:noProof/>
        <w:lang w:eastAsia="es-CL"/>
      </w:rPr>
      <w:drawing>
        <wp:inline distT="0" distB="0" distL="0" distR="0" wp14:anchorId="55951C13" wp14:editId="5462DFB7">
          <wp:extent cx="704850" cy="958596"/>
          <wp:effectExtent l="0" t="0" r="0" b="0"/>
          <wp:docPr id="8619079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7120297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209" cy="959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B176E7" w14:textId="77777777" w:rsidR="008F7516" w:rsidRDefault="008F75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A6955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145FF6"/>
    <w:multiLevelType w:val="hybridMultilevel"/>
    <w:tmpl w:val="3F342ACA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372E3"/>
    <w:multiLevelType w:val="hybridMultilevel"/>
    <w:tmpl w:val="EBF81D90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07A55"/>
    <w:multiLevelType w:val="hybridMultilevel"/>
    <w:tmpl w:val="B5F4BE6E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EC6"/>
    <w:multiLevelType w:val="hybridMultilevel"/>
    <w:tmpl w:val="511E6E66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6557">
    <w:abstractNumId w:val="2"/>
  </w:num>
  <w:num w:numId="2" w16cid:durableId="1342968651">
    <w:abstractNumId w:val="3"/>
  </w:num>
  <w:num w:numId="3" w16cid:durableId="1470125528">
    <w:abstractNumId w:val="1"/>
  </w:num>
  <w:num w:numId="4" w16cid:durableId="644965739">
    <w:abstractNumId w:val="4"/>
  </w:num>
  <w:num w:numId="5" w16cid:durableId="33753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11"/>
    <w:rsid w:val="000D7011"/>
    <w:rsid w:val="00181CFA"/>
    <w:rsid w:val="001878AE"/>
    <w:rsid w:val="001F56A6"/>
    <w:rsid w:val="002E40E2"/>
    <w:rsid w:val="003042BF"/>
    <w:rsid w:val="006D5F4D"/>
    <w:rsid w:val="00720F38"/>
    <w:rsid w:val="007F3720"/>
    <w:rsid w:val="0081405C"/>
    <w:rsid w:val="00850DC6"/>
    <w:rsid w:val="008F7516"/>
    <w:rsid w:val="00A31CE5"/>
    <w:rsid w:val="00DA5CF3"/>
    <w:rsid w:val="00DF148F"/>
    <w:rsid w:val="00E53AA8"/>
    <w:rsid w:val="00E77CE8"/>
    <w:rsid w:val="00F25BAC"/>
    <w:rsid w:val="00F74BD4"/>
    <w:rsid w:val="00FB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8C46"/>
  <w15:chartTrackingRefBased/>
  <w15:docId w15:val="{86F5139C-C89C-4F91-82C3-32E45722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D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D7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7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7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7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7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7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7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7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7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7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7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70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701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70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70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70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70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7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7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7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7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7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70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70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701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7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701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701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81CF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81CFA"/>
    <w:rPr>
      <w:color w:val="605E5C"/>
      <w:shd w:val="clear" w:color="auto" w:fill="E1DFDD"/>
    </w:rPr>
  </w:style>
  <w:style w:type="paragraph" w:styleId="Listaconvietas">
    <w:name w:val="List Bullet"/>
    <w:basedOn w:val="Normal"/>
    <w:uiPriority w:val="99"/>
    <w:unhideWhenUsed/>
    <w:rsid w:val="00F74BD4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F75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7516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F75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7516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6167.4BE6B7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504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A. Gajardo Vivanco</dc:creator>
  <cp:keywords/>
  <dc:description/>
  <cp:lastModifiedBy>Miguel A. Nina Yanarico</cp:lastModifiedBy>
  <cp:revision>6</cp:revision>
  <dcterms:created xsi:type="dcterms:W3CDTF">2026-10-19T16:20:00Z</dcterms:created>
  <dcterms:modified xsi:type="dcterms:W3CDTF">2026-10-28T20:05:00Z</dcterms:modified>
</cp:coreProperties>
</file>